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Аннотация к предмету внеурочной деятельности «Путь к исторической правде».</w:t>
      </w:r>
    </w:p>
    <w:p w14:paraId="02000000">
      <w:pPr>
        <w:spacing w:after="0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Программа реализуется в 8 классе МАОУ СШ п.Угловка. 17 часов.</w:t>
      </w:r>
    </w:p>
    <w:p w14:paraId="03000000">
      <w:pPr>
        <w:spacing w:after="0"/>
        <w:ind/>
        <w:jc w:val="left"/>
        <w:rPr>
          <w:rFonts w:ascii="Times New Roman" w:hAnsi="Times New Roman"/>
          <w:sz w:val="28"/>
        </w:rPr>
      </w:pPr>
    </w:p>
    <w:p w14:paraId="04000000">
      <w:pPr>
        <w:spacing w:after="0"/>
        <w:ind w:firstLine="0" w:left="-589"/>
        <w:jc w:val="center"/>
      </w:pPr>
      <w:r>
        <w:rPr>
          <w:rFonts w:ascii="Times New Roman" w:hAnsi="Times New Roman"/>
          <w:b w:val="1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развитие и воспитание личности школьника на основе о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мысления исторического опыта своей страны, активно прим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няющего исторические знания в социальной деятельности.</w:t>
      </w:r>
    </w:p>
    <w:p w14:paraId="05000000">
      <w:pPr>
        <w:spacing w:after="0"/>
        <w:ind w:firstLine="0" w:left="-589"/>
        <w:jc w:val="left"/>
      </w:pPr>
      <w:r>
        <w:rPr>
          <w:rFonts w:ascii="Times New Roman" w:hAnsi="Times New Roman"/>
          <w:b w:val="1"/>
          <w:sz w:val="24"/>
        </w:rPr>
        <w:t>Задачи:</w:t>
      </w:r>
    </w:p>
    <w:p w14:paraId="06000000">
      <w:pPr>
        <w:spacing w:after="0" w:line="240" w:lineRule="auto"/>
        <w:ind w:firstLine="0"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 xml:space="preserve">развитие критического мышления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через работу с историческими источниками;</w:t>
      </w:r>
    </w:p>
    <w:p w14:paraId="07000000">
      <w:pPr>
        <w:spacing w:after="0" w:line="240" w:lineRule="auto"/>
        <w:ind w:firstLine="0"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b w:val="1"/>
          <w:sz w:val="24"/>
        </w:rPr>
        <w:t> </w:t>
      </w:r>
      <w:r>
        <w:rPr>
          <w:rFonts w:ascii="Times New Roman" w:hAnsi="Times New Roman"/>
          <w:sz w:val="24"/>
        </w:rPr>
        <w:t>расширение аксиологических знаний и опыта оценочной де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тельности: сопоставление различных версий и оценок истор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ческих событий и личностей, определение и выражение собс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венного отношения, обоснование позиции при изучении ди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куссионных проблем прошлого и современности;</w:t>
      </w:r>
    </w:p>
    <w:p w14:paraId="08000000">
      <w:pPr>
        <w:spacing w:after="0" w:line="240" w:lineRule="auto"/>
        <w:ind w:firstLine="0" w:left="28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-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развитие практики применения полученных умений в соц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альной среде</w:t>
      </w:r>
      <w:r>
        <w:rPr>
          <w:rFonts w:ascii="Times New Roman" w:hAnsi="Times New Roman"/>
          <w:sz w:val="24"/>
        </w:rPr>
        <w:t>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</w:p>
    <w:p w14:paraId="0A000000">
      <w:pPr>
        <w:spacing w:after="0" w:line="240" w:lineRule="auto"/>
        <w:ind w:firstLine="425"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Особенность реализации программы: социальное партнерство образовательных организаций Новгородской области и госуда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ственных областных казенных учреждений«Государственный а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хив новейшей истории Новгородской области» и «Государстве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ный архив Новгородской области».</w:t>
      </w:r>
    </w:p>
    <w:p w14:paraId="0B000000">
      <w:pPr>
        <w:spacing w:after="0"/>
        <w:ind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tbl>
      <w:tblPr>
        <w:tblInd w:type="dxa" w:w="0"/>
        <w:tblBorders>
          <w:top w:sz="4" w:themeColor="text1" w:val="single"/>
          <w:left w:sz="4" w:themeColor="text1" w:val="single"/>
          <w:bottom w:sz="4" w:themeColor="text1" w:val="single"/>
          <w:right w:sz="4" w:themeColor="text1" w:val="single"/>
          <w:insideH w:sz="4" w:themeColor="text1" w:val="single"/>
          <w:insideV w:sz="4" w:themeColor="text1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9"/>
        <w:gridCol w:w="7278"/>
      </w:tblGrid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 xml:space="preserve">Введение. </w:t>
            </w:r>
            <w:r>
              <w:rPr>
                <w:rFonts w:ascii="Times New Roman" w:hAnsi="Times New Roman"/>
                <w:b w:val="1"/>
              </w:rPr>
              <w:t xml:space="preserve">Ложь 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 xml:space="preserve"> правда в истории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1.Виды документов и их хара</w:t>
            </w:r>
            <w:r>
              <w:rPr>
                <w:rFonts w:ascii="Times New Roman" w:hAnsi="Times New Roman"/>
                <w:b w:val="1"/>
              </w:rPr>
              <w:t>к</w:t>
            </w:r>
            <w:r>
              <w:rPr>
                <w:rFonts w:ascii="Times New Roman" w:hAnsi="Times New Roman"/>
                <w:b w:val="1"/>
              </w:rPr>
              <w:t>теристика. Правила работы с истор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>ческими источниками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</w:rPr>
              <w:t>Тема 2. Роль архивов в сохранении  ис</w:t>
            </w:r>
            <w:r>
              <w:rPr>
                <w:rFonts w:ascii="Times New Roman" w:hAnsi="Times New Roman"/>
                <w:b w:val="1"/>
              </w:rPr>
              <w:t>торической памяти</w:t>
            </w:r>
          </w:p>
        </w:tc>
      </w:tr>
      <w:tr>
        <w:tc>
          <w:tcPr>
            <w:tcW w:type="dxa" w:w="7847"/>
            <w:gridSpan w:val="2"/>
            <w:tcBorders>
              <w:top w:sz="4" w:themeColor="text1" w:val="single"/>
              <w:left w:sz="4" w:themeColor="text1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 xml:space="preserve">Тема 3.Отражение события в архивных </w:t>
            </w:r>
            <w:r>
              <w:rPr>
                <w:rFonts w:ascii="Times New Roman" w:hAnsi="Times New Roman"/>
                <w:b w:val="1"/>
              </w:rPr>
              <w:t>документах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официальными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тами и их анализ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личного происхождения и их роль в освещении исторической правды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Дневники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Фотографии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СМИ в освещении исторических событий</w:t>
            </w:r>
          </w:p>
        </w:tc>
      </w:tr>
      <w:tr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Газеты, листовки, плакаты, карикатуры</w:t>
            </w:r>
          </w:p>
        </w:tc>
      </w:tr>
      <w:tr>
        <w:tc>
          <w:tcPr>
            <w:tcW w:type="dxa" w:w="569"/>
            <w:tcBorders>
              <w:top w:color="000000" w:sz="4" w:val="single"/>
              <w:left w:sz="4" w:themeColor="text1" w:val="single"/>
              <w:bottom w:sz="4" w:val="nil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10</w:t>
            </w:r>
          </w:p>
        </w:tc>
        <w:tc>
          <w:tcPr>
            <w:tcW w:type="dxa" w:w="7278"/>
            <w:tcBorders>
              <w:top w:color="000000" w:sz="4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 4. Работа с личным </w:t>
            </w:r>
            <w:r>
              <w:rPr>
                <w:rFonts w:ascii="Times New Roman" w:hAnsi="Times New Roman"/>
                <w:b w:val="1"/>
              </w:rPr>
              <w:t>(семейны</w:t>
            </w:r>
            <w:r>
              <w:rPr>
                <w:rFonts w:ascii="Times New Roman" w:hAnsi="Times New Roman"/>
                <w:b w:val="1"/>
              </w:rPr>
              <w:t>м</w:t>
            </w:r>
            <w:r>
              <w:rPr>
                <w:rFonts w:ascii="Times New Roman" w:hAnsi="Times New Roman"/>
                <w:b w:val="1"/>
              </w:rPr>
              <w:t xml:space="preserve">) </w:t>
            </w:r>
            <w:r>
              <w:rPr>
                <w:rFonts w:ascii="Times New Roman" w:hAnsi="Times New Roman"/>
                <w:b w:val="1"/>
              </w:rPr>
              <w:t>архивом</w:t>
            </w:r>
          </w:p>
          <w:p w14:paraId="2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Что такое личный </w:t>
            </w:r>
            <w:r>
              <w:rPr>
                <w:rFonts w:ascii="Times New Roman" w:hAnsi="Times New Roman"/>
              </w:rPr>
              <w:t xml:space="preserve">(семейный) </w:t>
            </w:r>
            <w:r>
              <w:rPr>
                <w:rFonts w:ascii="Times New Roman" w:hAnsi="Times New Roman"/>
              </w:rPr>
              <w:t>архив? Какие документы в с</w:t>
            </w:r>
            <w:r>
              <w:rPr>
                <w:rFonts w:ascii="Times New Roman" w:hAnsi="Times New Roman"/>
              </w:rPr>
              <w:t>писке личного (с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мейного) </w:t>
            </w:r>
            <w:r>
              <w:rPr>
                <w:rFonts w:ascii="Times New Roman" w:hAnsi="Times New Roman"/>
              </w:rPr>
              <w:t xml:space="preserve">архива? Личный архив </w:t>
            </w:r>
            <w:r>
              <w:rPr>
                <w:rFonts w:ascii="Times New Roman" w:hAnsi="Times New Roman"/>
              </w:rPr>
              <w:t>вашей</w:t>
            </w:r>
            <w:r>
              <w:rPr>
                <w:rFonts w:ascii="Times New Roman" w:hAnsi="Times New Roman"/>
              </w:rPr>
              <w:t xml:space="preserve"> семьи</w:t>
            </w:r>
          </w:p>
        </w:tc>
      </w:tr>
      <w:tr>
        <w:tc>
          <w:tcPr>
            <w:tcW w:type="dxa" w:w="7847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5. Разработка и защита «</w:t>
            </w:r>
            <w:r>
              <w:rPr>
                <w:rFonts w:ascii="Times New Roman" w:hAnsi="Times New Roman"/>
                <w:b w:val="1"/>
              </w:rPr>
              <w:t xml:space="preserve">Архив моей семьи». </w:t>
            </w:r>
            <w:r>
              <w:rPr>
                <w:rFonts w:ascii="Times New Roman" w:hAnsi="Times New Roman"/>
              </w:rPr>
              <w:t>Учебно-исследовательская работ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«Документы моей семьи»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11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документов. Изучение архива моей семьи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12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 xml:space="preserve">Анализ документов. </w:t>
            </w:r>
            <w:r>
              <w:rPr>
                <w:rFonts w:ascii="Times New Roman" w:hAnsi="Times New Roman"/>
              </w:rPr>
              <w:t>Выбор документа для анализа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13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выбранного документа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14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проектов, оформление учебно-исследовательской работы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15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проектов, учебно-исследовательской работы</w:t>
            </w:r>
          </w:p>
        </w:tc>
      </w:tr>
      <w:tr>
        <w:tc>
          <w:tcPr>
            <w:tcW w:type="dxa" w:w="7847"/>
            <w:gridSpan w:val="2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Тема 6. Ложь </w:t>
            </w:r>
            <w:r>
              <w:rPr>
                <w:rFonts w:ascii="Times New Roman" w:hAnsi="Times New Roman"/>
                <w:b w:val="1"/>
              </w:rPr>
              <w:t>и</w:t>
            </w:r>
            <w:r>
              <w:rPr>
                <w:rFonts w:ascii="Times New Roman" w:hAnsi="Times New Roman"/>
                <w:b w:val="1"/>
              </w:rPr>
              <w:t xml:space="preserve"> правда в истории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16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>
        <w:tc>
          <w:tcPr>
            <w:tcW w:type="dxa" w:w="56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17</w:t>
            </w:r>
          </w:p>
        </w:tc>
        <w:tc>
          <w:tcPr>
            <w:tcW w:type="dxa" w:w="727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</w:tbl>
    <w:p w14:paraId="32000000">
      <w:pPr>
        <w:spacing w:after="0"/>
        <w:ind/>
      </w:pPr>
      <w:r>
        <w:rPr>
          <w:rFonts w:ascii="Times New Roman" w:hAnsi="Times New Roman"/>
          <w:sz w:val="28"/>
        </w:rPr>
        <w:t xml:space="preserve"> </w:t>
      </w:r>
    </w:p>
    <w:p w14:paraId="33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4000000">
      <w:pPr>
        <w:spacing w:after="0"/>
        <w:ind w:firstLine="240" w:left="120"/>
        <w:jc w:val="both"/>
      </w:pPr>
      <w:r>
        <w:rPr>
          <w:rFonts w:ascii="Times New Roman" w:hAnsi="Times New Roman"/>
          <w:sz w:val="28"/>
        </w:rPr>
        <w:t>Аннотация к предмету внеурочной деятельности «Новгородика».</w:t>
      </w:r>
    </w:p>
    <w:p w14:paraId="35000000">
      <w:pPr>
        <w:spacing w:after="0"/>
        <w:ind w:firstLine="240" w:left="120"/>
        <w:jc w:val="both"/>
      </w:pPr>
    </w:p>
    <w:p w14:paraId="36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Программа «Новгородика» разработана для  обучающихся шестого класса.  Данная программа, раскрывая события истории Новгородской земли , приближает историю к ученику, позволяет показать важность науки для учеников, понять, зачем мы изучаем события давно минувших дней, повышает интерес к предмету. Это делает программу актуальной и нужной для учащихся.</w:t>
      </w:r>
    </w:p>
    <w:p w14:paraId="37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Реализация программы способствует решению приоритетных образовательных и воспитательных задач – развитию интереса школьников к прошлому и настоящему родной страны, осознанию своей гражданской и социальной идентичности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</w:p>
    <w:p w14:paraId="38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 </w:t>
      </w:r>
    </w:p>
    <w:p w14:paraId="39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соответствии с базисным учебным планом школы на изучение краеведения отведен один час в неделю.</w:t>
      </w:r>
    </w:p>
    <w:p w14:paraId="3A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Курс «Новгородика» для 6 класса разработан  группой педагогов Новгородской области: В.В.Киришевой, В.И.Конецкой, Д.И.Крапчуновым, Е.И.Орловой, И.О.Петровым.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Программа рассчитана на 35 часов  из расчёта 1 час в неделю. Сроки реализации программы – 1 год.</w:t>
      </w:r>
    </w:p>
    <w:p w14:paraId="3B000000">
      <w:pPr>
        <w:spacing w:after="0" w:before="0"/>
        <w:ind w:firstLine="284" w:left="0" w:right="0"/>
        <w:jc w:val="both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На уроках будут использоваться разнообразные формы самостоятельной деятельности учащихся поискового, исследовательского характера.</w:t>
      </w:r>
    </w:p>
    <w:p w14:paraId="3C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Цели курса:</w:t>
      </w:r>
    </w:p>
    <w:p w14:paraId="3D000000">
      <w:pPr>
        <w:numPr>
          <w:ilvl w:val="0"/>
          <w:numId w:val="1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воспитание личности гражданина России, духовно связанного с малой Родиной, знающего и уважающего ее историю, культуру, национальные традиции;</w:t>
      </w:r>
    </w:p>
    <w:p w14:paraId="3E000000">
      <w:pPr>
        <w:numPr>
          <w:ilvl w:val="0"/>
          <w:numId w:val="1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развитие творческих способностей учащихся, коммуникативных умений;</w:t>
      </w:r>
    </w:p>
    <w:p w14:paraId="3F000000">
      <w:pPr>
        <w:numPr>
          <w:ilvl w:val="0"/>
          <w:numId w:val="2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способствовать воспитанию патриотического сознания, готовность к активному участию в жизни региона;         </w:t>
      </w:r>
    </w:p>
    <w:p w14:paraId="4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  <w:highlight w:val="white"/>
        </w:rPr>
        <w:t>Задачи курса:</w:t>
      </w:r>
    </w:p>
    <w:p w14:paraId="41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пробуждать интерес к родной истории, судьбам людей родного края;</w:t>
      </w:r>
    </w:p>
    <w:p w14:paraId="42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дать представление об историческом, природном, хозяйственном, культурном  своеобразии родного края;</w:t>
      </w:r>
    </w:p>
    <w:p w14:paraId="43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расширить, углубить, конкретизировать знания по истории России, предусмотренные федеральным компонентом;</w:t>
      </w:r>
    </w:p>
    <w:p w14:paraId="44000000">
      <w:pPr>
        <w:numPr>
          <w:ilvl w:val="0"/>
          <w:numId w:val="3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организовать  поисковую, исследовательскую деятельность, изучение многообразных источников по истории края.</w:t>
      </w:r>
    </w:p>
    <w:p w14:paraId="45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Для реализации  программы используются объяснительно-иллюстративный, частично-поисковый и проблемный методы обучения. Также применяются  нетрадиционные формы организации учебной деятельности: урок в музее. Используются современные педагогические технологии:</w:t>
      </w:r>
    </w:p>
    <w:p w14:paraId="46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проблемное обучение;</w:t>
      </w:r>
    </w:p>
    <w:p w14:paraId="47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здоровьесберегающие технологии;</w:t>
      </w:r>
    </w:p>
    <w:p w14:paraId="48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использование исследовательского метода в обучении;</w:t>
      </w:r>
    </w:p>
    <w:p w14:paraId="49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информационно-коммуникационные технологии;</w:t>
      </w:r>
    </w:p>
    <w:p w14:paraId="4A000000">
      <w:pPr>
        <w:numPr>
          <w:ilvl w:val="0"/>
          <w:numId w:val="4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технология использования в обучении игровых методов: ролевых, деловых и других видов обучающих игр;</w:t>
      </w:r>
    </w:p>
    <w:p w14:paraId="4B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Объективный контроль знаний, умений и навыков обучаемых на соответствие требованиям программы включает традиционные письменные работы – самостоятельные и контрольные работы.</w:t>
      </w:r>
    </w:p>
    <w:p w14:paraId="4C000000">
      <w:pPr>
        <w:numPr>
          <w:ilvl w:val="0"/>
          <w:numId w:val="5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Итоговая контрольная  работа:  по теме «Новгородский край в древности».</w:t>
      </w:r>
    </w:p>
    <w:p w14:paraId="4D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 Практические  работы:</w:t>
      </w:r>
    </w:p>
    <w:p w14:paraId="4E000000">
      <w:pPr>
        <w:numPr>
          <w:ilvl w:val="0"/>
          <w:numId w:val="6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знакомство с предметами быта, орудиями труда, их зарисовка, описание.</w:t>
      </w:r>
    </w:p>
    <w:p w14:paraId="4F000000">
      <w:pPr>
        <w:numPr>
          <w:ilvl w:val="0"/>
          <w:numId w:val="6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Составление генеалогического древа «моей семьи».</w:t>
      </w:r>
    </w:p>
    <w:p w14:paraId="50000000">
      <w:pPr>
        <w:spacing w:after="0" w:before="0"/>
        <w:ind w:firstLine="0" w:left="0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2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Творческие работы (проекты):по темам «Памятники моей Малой Родины».«Герои моего края». «Одежда Новгородцев» и тд.</w:t>
      </w:r>
    </w:p>
    <w:p w14:paraId="51000000">
      <w:pPr>
        <w:numPr>
          <w:ilvl w:val="0"/>
          <w:numId w:val="7"/>
        </w:num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«Рассказ моей (моего) бабушки (дедушки) о памятном историческом событии.</w:t>
      </w:r>
    </w:p>
    <w:p w14:paraId="52000000">
      <w:pPr>
        <w:spacing w:after="0"/>
        <w:ind w:firstLine="240" w:left="120"/>
        <w:jc w:val="both"/>
      </w:pPr>
    </w:p>
    <w:p w14:paraId="53000000">
      <w:pPr>
        <w:spacing w:after="0"/>
        <w:ind/>
        <w:rPr>
          <w:rFonts w:ascii="Times New Roman" w:hAnsi="Times New Roman"/>
          <w:sz w:val="28"/>
        </w:rPr>
      </w:pPr>
      <w: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basedOn w:val="Style_1"/>
    <w:next w:val="Style_1"/>
    <w:link w:val="Style_9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9_ch" w:type="character">
    <w:name w:val="heading 1"/>
    <w:basedOn w:val="Style_1_ch"/>
    <w:link w:val="Style_9"/>
    <w:rPr>
      <w:rFonts w:asciiTheme="majorAscii" w:hAnsiTheme="majorHAnsi"/>
      <w:color w:themeColor="accent1" w:themeShade="BF" w:val="2E75B5"/>
      <w:sz w:val="32"/>
    </w:rPr>
  </w:style>
  <w:style w:styleId="Style_10" w:type="paragraph">
    <w:name w:val="Hyperlink"/>
    <w:basedOn w:val="Style_11"/>
    <w:link w:val="Style_10_ch"/>
    <w:rPr>
      <w:color w:val="0000FF"/>
      <w:u w:val="single"/>
    </w:rPr>
  </w:style>
  <w:style w:styleId="Style_10_ch" w:type="character">
    <w:name w:val="Hyperlink"/>
    <w:basedOn w:val="Style_11_ch"/>
    <w:link w:val="Style_10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2023-12-08T07:38:06Z</dcterms:modified>
</cp:coreProperties>
</file>